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58" w:lineRule="auto" w:before="82"/>
        <w:ind w:left="3915" w:right="3908" w:firstLine="530"/>
        <w:jc w:val="left"/>
        <w:rPr>
          <w:sz w:val="24"/>
        </w:rPr>
      </w:pPr>
      <w:r>
        <w:rPr>
          <w:sz w:val="24"/>
        </w:rPr>
        <w:t>FORM 74B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KING’S</w:t>
      </w:r>
      <w:r>
        <w:rPr>
          <w:spacing w:val="-17"/>
          <w:sz w:val="24"/>
        </w:rPr>
        <w:t> </w:t>
      </w:r>
      <w:r>
        <w:rPr>
          <w:sz w:val="24"/>
        </w:rPr>
        <w:t>BENCH</w:t>
      </w:r>
    </w:p>
    <w:p>
      <w:pPr>
        <w:tabs>
          <w:tab w:pos="2465" w:val="left" w:leader="none"/>
        </w:tabs>
        <w:spacing w:line="211" w:lineRule="exact" w:before="0"/>
        <w:ind w:left="3" w:right="0" w:firstLine="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20"/>
          <w:sz w:val="24"/>
        </w:rPr>
        <w:t> </w:t>
      </w:r>
      <w:r>
        <w:rPr>
          <w:sz w:val="24"/>
        </w:rPr>
        <w:t>Centre</w:t>
      </w:r>
    </w:p>
    <w:p>
      <w:pPr>
        <w:pStyle w:val="BodyText"/>
        <w:rPr>
          <w:sz w:val="22"/>
        </w:rPr>
      </w:pPr>
    </w:p>
    <w:p>
      <w:pPr>
        <w:pStyle w:val="BodyText"/>
        <w:spacing w:before="249"/>
        <w:rPr>
          <w:sz w:val="22"/>
        </w:rPr>
      </w:pPr>
    </w:p>
    <w:p>
      <w:pPr>
        <w:pStyle w:val="Heading1"/>
      </w:pPr>
      <w:r>
        <w:rPr/>
        <w:t>INVENTORY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VALUATION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DECEASED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0"/>
        <w:rPr>
          <w:rFonts w:ascii="Arial"/>
          <w:b/>
          <w:sz w:val="20"/>
        </w:rPr>
      </w:pPr>
    </w:p>
    <w:tbl>
      <w:tblPr>
        <w:tblW w:w="0" w:type="auto"/>
        <w:jc w:val="left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3"/>
        <w:gridCol w:w="3198"/>
        <w:gridCol w:w="3242"/>
      </w:tblGrid>
      <w:tr>
        <w:trPr>
          <w:trHeight w:val="1186" w:hRule="atLeast"/>
        </w:trPr>
        <w:tc>
          <w:tcPr>
            <w:tcW w:w="3283" w:type="dxa"/>
            <w:tcBorders>
              <w:top w:val="nil"/>
              <w:left w:val="nil"/>
            </w:tcBorders>
          </w:tcPr>
          <w:p>
            <w:pPr>
              <w:pStyle w:val="TableParagraph"/>
              <w:ind w:left="571" w:right="558" w:hanging="1"/>
              <w:jc w:val="center"/>
              <w:rPr>
                <w:sz w:val="22"/>
              </w:rPr>
            </w:pPr>
            <w:r>
              <w:rPr>
                <w:sz w:val="22"/>
              </w:rPr>
              <w:t>Description of Immoveable Property (including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interest</w:t>
            </w:r>
          </w:p>
          <w:p>
            <w:pPr>
              <w:pStyle w:val="TableParagraph"/>
              <w:spacing w:before="2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property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mortgage)</w:t>
            </w:r>
          </w:p>
        </w:tc>
        <w:tc>
          <w:tcPr>
            <w:tcW w:w="3198" w:type="dxa"/>
            <w:tcBorders>
              <w:top w:val="nil"/>
            </w:tcBorders>
          </w:tcPr>
          <w:p>
            <w:pPr>
              <w:pStyle w:val="TableParagraph"/>
              <w:ind w:left="1017" w:right="621" w:hanging="281"/>
              <w:rPr>
                <w:sz w:val="22"/>
              </w:rPr>
            </w:pPr>
            <w:r>
              <w:rPr>
                <w:sz w:val="22"/>
              </w:rPr>
              <w:t>Value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Property in Manitoba</w:t>
            </w:r>
          </w:p>
        </w:tc>
        <w:tc>
          <w:tcPr>
            <w:tcW w:w="3242" w:type="dxa"/>
            <w:tcBorders>
              <w:top w:val="nil"/>
              <w:right w:val="nil"/>
            </w:tcBorders>
          </w:tcPr>
          <w:p>
            <w:pPr>
              <w:pStyle w:val="TableParagraph"/>
              <w:ind w:left="772" w:right="113" w:hanging="12"/>
              <w:rPr>
                <w:sz w:val="22"/>
              </w:rPr>
            </w:pPr>
            <w:r>
              <w:rPr>
                <w:sz w:val="22"/>
              </w:rPr>
              <w:t>Value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Property outside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Manitoba</w:t>
            </w:r>
          </w:p>
        </w:tc>
      </w:tr>
      <w:tr>
        <w:trPr>
          <w:trHeight w:val="7663" w:hRule="atLeast"/>
        </w:trPr>
        <w:tc>
          <w:tcPr>
            <w:tcW w:w="3283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9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3283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98" w:type="dxa"/>
          </w:tcPr>
          <w:p>
            <w:pPr>
              <w:pStyle w:val="TableParagraph"/>
              <w:ind w:left="372"/>
              <w:rPr>
                <w:sz w:val="19"/>
              </w:rPr>
            </w:pPr>
            <w:r>
              <w:rPr>
                <w:spacing w:val="-10"/>
                <w:sz w:val="19"/>
              </w:rPr>
              <w:t>$</w:t>
            </w:r>
          </w:p>
        </w:tc>
        <w:tc>
          <w:tcPr>
            <w:tcW w:w="3242" w:type="dxa"/>
            <w:tcBorders>
              <w:right w:val="nil"/>
            </w:tcBorders>
          </w:tcPr>
          <w:p>
            <w:pPr>
              <w:pStyle w:val="TableParagraph"/>
              <w:ind w:left="373"/>
              <w:rPr>
                <w:sz w:val="19"/>
              </w:rPr>
            </w:pPr>
            <w:r>
              <w:rPr>
                <w:spacing w:val="-10"/>
                <w:sz w:val="19"/>
              </w:rPr>
              <w:t>$</w:t>
            </w:r>
          </w:p>
        </w:tc>
      </w:tr>
      <w:tr>
        <w:trPr>
          <w:trHeight w:val="416" w:hRule="atLeast"/>
        </w:trPr>
        <w:tc>
          <w:tcPr>
            <w:tcW w:w="328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tcBorders>
              <w:right w:val="nil"/>
            </w:tcBorders>
          </w:tcPr>
          <w:p>
            <w:pPr>
              <w:pStyle w:val="TableParagraph"/>
              <w:ind w:left="372"/>
              <w:rPr>
                <w:sz w:val="19"/>
              </w:rPr>
            </w:pPr>
            <w:r>
              <w:rPr>
                <w:spacing w:val="-2"/>
                <w:sz w:val="19"/>
              </w:rPr>
              <w:t>TOTAL</w:t>
            </w:r>
          </w:p>
        </w:tc>
        <w:tc>
          <w:tcPr>
            <w:tcW w:w="3242" w:type="dxa"/>
            <w:tcBorders>
              <w:left w:val="nil"/>
              <w:right w:val="nil"/>
            </w:tcBorders>
          </w:tcPr>
          <w:p>
            <w:pPr>
              <w:pStyle w:val="TableParagraph"/>
              <w:ind w:left="383"/>
              <w:rPr>
                <w:sz w:val="19"/>
              </w:rPr>
            </w:pPr>
            <w:r>
              <w:rPr>
                <w:spacing w:val="-10"/>
                <w:sz w:val="19"/>
              </w:rPr>
              <w:t>$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headerReference w:type="default" r:id="rId5"/>
          <w:type w:val="continuous"/>
          <w:pgSz w:w="12240" w:h="15840"/>
          <w:pgMar w:header="482" w:footer="0" w:top="980" w:bottom="280" w:left="1080" w:right="1080"/>
          <w:pgNumType w:start="1"/>
        </w:sectPr>
      </w:pPr>
    </w:p>
    <w:p>
      <w:pPr>
        <w:pStyle w:val="BodyText"/>
        <w:spacing w:before="6"/>
        <w:rPr>
          <w:rFonts w:ascii="Arial"/>
          <w:b/>
          <w:sz w:val="6"/>
        </w:rPr>
      </w:pP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2"/>
        <w:gridCol w:w="2976"/>
        <w:gridCol w:w="2917"/>
      </w:tblGrid>
      <w:tr>
        <w:trPr>
          <w:trHeight w:val="1189" w:hRule="atLeast"/>
        </w:trPr>
        <w:tc>
          <w:tcPr>
            <w:tcW w:w="3842" w:type="dxa"/>
            <w:tcBorders>
              <w:top w:val="nil"/>
              <w:left w:val="nil"/>
            </w:tcBorders>
          </w:tcPr>
          <w:p>
            <w:pPr>
              <w:pStyle w:val="TableParagraph"/>
              <w:ind w:left="1005" w:right="974" w:hanging="6"/>
              <w:jc w:val="center"/>
              <w:rPr>
                <w:sz w:val="22"/>
              </w:rPr>
            </w:pPr>
            <w:r>
              <w:rPr>
                <w:sz w:val="22"/>
              </w:rPr>
              <w:t>Description of Moveable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Property (list on a separate sheet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necessary)</w:t>
            </w: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910" w:right="623" w:hanging="281"/>
              <w:rPr>
                <w:sz w:val="22"/>
              </w:rPr>
            </w:pPr>
            <w:r>
              <w:rPr>
                <w:sz w:val="22"/>
              </w:rPr>
              <w:t>Value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Property in Manitoba</w:t>
            </w:r>
          </w:p>
        </w:tc>
        <w:tc>
          <w:tcPr>
            <w:tcW w:w="2917" w:type="dxa"/>
            <w:tcBorders>
              <w:top w:val="nil"/>
              <w:right w:val="nil"/>
            </w:tcBorders>
          </w:tcPr>
          <w:p>
            <w:pPr>
              <w:pStyle w:val="TableParagraph"/>
              <w:ind w:left="611" w:hanging="12"/>
              <w:rPr>
                <w:sz w:val="22"/>
              </w:rPr>
            </w:pPr>
            <w:r>
              <w:rPr>
                <w:sz w:val="22"/>
              </w:rPr>
              <w:t>Value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Property outside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Manitoba</w:t>
            </w:r>
          </w:p>
        </w:tc>
      </w:tr>
      <w:tr>
        <w:trPr>
          <w:trHeight w:val="8474" w:hRule="atLeast"/>
        </w:trPr>
        <w:tc>
          <w:tcPr>
            <w:tcW w:w="3842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34" w:right="108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furnishings and household effects in primary residence and clothing and personal effects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34" w:right="106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furnishings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and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household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effects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other properties</w:t>
            </w:r>
          </w:p>
          <w:p>
            <w:pPr>
              <w:pStyle w:val="TableParagraph"/>
              <w:spacing w:line="244" w:lineRule="auto" w:before="205"/>
              <w:ind w:left="134" w:right="108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motor vehicles and recreation vehicles such as boats, etc </w:t>
            </w:r>
            <w:r>
              <w:rPr>
                <w:sz w:val="18"/>
              </w:rPr>
              <w:t>C list each separately</w:t>
            </w:r>
          </w:p>
          <w:p>
            <w:pPr>
              <w:pStyle w:val="TableParagraph"/>
              <w:spacing w:line="242" w:lineRule="auto" w:before="204"/>
              <w:ind w:left="134" w:right="106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bank accounts </w:t>
            </w:r>
            <w:r>
              <w:rPr>
                <w:sz w:val="18"/>
              </w:rPr>
              <w:t>C list each institution separately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indicate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account(s) (i.e.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savings)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amount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account</w:t>
            </w:r>
          </w:p>
          <w:p>
            <w:pPr>
              <w:pStyle w:val="TableParagraph"/>
              <w:spacing w:line="242" w:lineRule="auto" w:before="201"/>
              <w:ind w:left="134" w:right="105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investments managed by investment companies (including stocks,</w:t>
            </w:r>
            <w:r>
              <w:rPr>
                <w:rFonts w:ascii="Arial"/>
                <w:b/>
                <w:spacing w:val="4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shares, bonds and debentures) </w:t>
            </w:r>
            <w:r>
              <w:rPr>
                <w:sz w:val="18"/>
              </w:rPr>
              <w:t>C list each investment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company separately and indicate the total value of the investments with each </w:t>
            </w:r>
            <w:r>
              <w:rPr>
                <w:spacing w:val="-2"/>
                <w:sz w:val="18"/>
              </w:rPr>
              <w:t>company</w:t>
            </w:r>
          </w:p>
          <w:p>
            <w:pPr>
              <w:pStyle w:val="TableParagraph"/>
              <w:spacing w:line="244" w:lineRule="auto" w:before="200"/>
              <w:ind w:left="134" w:right="104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self-managed investment accounts </w:t>
            </w:r>
            <w:r>
              <w:rPr>
                <w:sz w:val="18"/>
              </w:rPr>
              <w:t>C list by institution</w:t>
            </w:r>
          </w:p>
          <w:p>
            <w:pPr>
              <w:pStyle w:val="TableParagraph"/>
              <w:spacing w:line="242" w:lineRule="auto" w:before="200"/>
              <w:ind w:left="134" w:right="105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stocks, shares, bonds and debentures held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by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deceased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separately by company and category and indicate the value by category</w:t>
            </w:r>
          </w:p>
          <w:p>
            <w:pPr>
              <w:pStyle w:val="TableParagraph"/>
              <w:spacing w:line="242" w:lineRule="auto" w:before="203"/>
              <w:ind w:left="134" w:right="104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life insurance payable to the estate </w:t>
            </w:r>
            <w:r>
              <w:rPr>
                <w:sz w:val="18"/>
              </w:rPr>
              <w:t>C list each separately by insurance company and the amount payable on each policy</w:t>
            </w:r>
          </w:p>
          <w:p>
            <w:pPr>
              <w:pStyle w:val="TableParagraph"/>
              <w:spacing w:line="242" w:lineRule="auto" w:before="201"/>
              <w:ind w:left="134" w:right="103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annuities, pensions, RRSPs, RRIFs, TFSAs, etc payable to the estate </w:t>
            </w:r>
            <w:r>
              <w:rPr>
                <w:sz w:val="18"/>
              </w:rPr>
              <w:t>C list separately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company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give 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</w:t>
            </w:r>
            <w:r>
              <w:rPr>
                <w:spacing w:val="-4"/>
                <w:sz w:val="18"/>
              </w:rPr>
              <w:t>each</w:t>
            </w:r>
          </w:p>
          <w:p>
            <w:pPr>
              <w:pStyle w:val="TableParagraph"/>
              <w:spacing w:line="247" w:lineRule="auto" w:before="203"/>
              <w:ind w:left="134" w:right="105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miscellaneous property not mentioned </w:t>
            </w:r>
            <w:r>
              <w:rPr>
                <w:sz w:val="18"/>
              </w:rPr>
              <w:t>C list separately and give the value of each</w:t>
            </w:r>
          </w:p>
        </w:tc>
        <w:tc>
          <w:tcPr>
            <w:tcW w:w="297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17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3842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9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13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  <w:r>
              <w:rPr>
                <w:rFonts w:ascii="Arial"/>
                <w:b/>
                <w:spacing w:val="-1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VALUE</w:t>
            </w:r>
            <w:r>
              <w:rPr>
                <w:rFonts w:ascii="Arial"/>
                <w:b/>
                <w:spacing w:val="-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ALL</w:t>
            </w:r>
            <w:r>
              <w:rPr>
                <w:rFonts w:ascii="Arial"/>
                <w:b/>
                <w:spacing w:val="-1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MOVEABLE </w:t>
            </w:r>
            <w:r>
              <w:rPr>
                <w:rFonts w:ascii="Arial"/>
                <w:b/>
                <w:spacing w:val="-2"/>
                <w:sz w:val="19"/>
              </w:rPr>
              <w:t>PROPERTY</w:t>
            </w:r>
          </w:p>
        </w:tc>
        <w:tc>
          <w:tcPr>
            <w:tcW w:w="2976" w:type="dxa"/>
          </w:tcPr>
          <w:p>
            <w:pPr>
              <w:pStyle w:val="TableParagraph"/>
              <w:ind w:left="375"/>
              <w:rPr>
                <w:sz w:val="19"/>
              </w:rPr>
            </w:pPr>
            <w:r>
              <w:rPr>
                <w:spacing w:val="-10"/>
                <w:sz w:val="19"/>
              </w:rPr>
              <w:t>$</w:t>
            </w:r>
          </w:p>
        </w:tc>
        <w:tc>
          <w:tcPr>
            <w:tcW w:w="2917" w:type="dxa"/>
            <w:tcBorders>
              <w:right w:val="nil"/>
            </w:tcBorders>
          </w:tcPr>
          <w:p>
            <w:pPr>
              <w:pStyle w:val="TableParagraph"/>
              <w:ind w:left="375"/>
              <w:rPr>
                <w:sz w:val="19"/>
              </w:rPr>
            </w:pPr>
            <w:r>
              <w:rPr>
                <w:spacing w:val="-10"/>
                <w:sz w:val="19"/>
              </w:rPr>
              <w:t>$</w:t>
            </w:r>
          </w:p>
        </w:tc>
      </w:tr>
      <w:tr>
        <w:trPr>
          <w:trHeight w:val="613" w:hRule="atLeast"/>
        </w:trPr>
        <w:tc>
          <w:tcPr>
            <w:tcW w:w="384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93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92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$</w:t>
            </w:r>
          </w:p>
        </w:tc>
      </w:tr>
      <w:tr>
        <w:trPr>
          <w:trHeight w:val="611" w:hRule="atLeast"/>
        </w:trPr>
        <w:tc>
          <w:tcPr>
            <w:tcW w:w="3842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right w:val="nil"/>
            </w:tcBorders>
          </w:tcPr>
          <w:p>
            <w:pPr>
              <w:pStyle w:val="TableParagraph"/>
              <w:spacing w:before="118"/>
              <w:ind w:left="111" w:right="797"/>
              <w:rPr>
                <w:sz w:val="19"/>
              </w:rPr>
            </w:pPr>
            <w:r>
              <w:rPr>
                <w:sz w:val="19"/>
              </w:rPr>
              <w:t>GRAND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TOTAL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ALL </w:t>
            </w:r>
            <w:r>
              <w:rPr>
                <w:spacing w:val="-2"/>
                <w:sz w:val="19"/>
              </w:rPr>
              <w:t>PROPERTY</w:t>
            </w:r>
          </w:p>
        </w:tc>
        <w:tc>
          <w:tcPr>
            <w:tcW w:w="291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385"/>
              <w:rPr>
                <w:sz w:val="19"/>
              </w:rPr>
            </w:pPr>
            <w:r>
              <w:rPr>
                <w:spacing w:val="-10"/>
                <w:sz w:val="19"/>
              </w:rPr>
              <w:t>$</w:t>
            </w:r>
          </w:p>
        </w:tc>
      </w:tr>
    </w:tbl>
    <w:p>
      <w:pPr>
        <w:pStyle w:val="BodyText"/>
        <w:spacing w:before="5"/>
        <w:rPr>
          <w:rFonts w:ascii="Arial"/>
          <w:b/>
        </w:rPr>
      </w:pPr>
    </w:p>
    <w:p>
      <w:pPr>
        <w:pStyle w:val="Heading2"/>
        <w:rPr>
          <w:u w:val="none"/>
        </w:rPr>
      </w:pPr>
      <w:r>
        <w:rPr>
          <w:spacing w:val="-4"/>
          <w:u w:val="single"/>
        </w:rPr>
        <w:t>NOTE:</w:t>
      </w:r>
    </w:p>
    <w:p>
      <w:pPr>
        <w:pStyle w:val="BodyText"/>
        <w:spacing w:before="3"/>
        <w:ind w:left="184"/>
      </w:pPr>
      <w:r>
        <w:rPr/>
        <w:t>Do</w:t>
      </w:r>
      <w:r>
        <w:rPr>
          <w:spacing w:val="8"/>
        </w:rPr>
        <w:t> </w:t>
      </w:r>
      <w:r>
        <w:rPr/>
        <w:t>not</w:t>
      </w:r>
      <w:r>
        <w:rPr>
          <w:spacing w:val="12"/>
        </w:rPr>
        <w:t> </w:t>
      </w:r>
      <w:r>
        <w:rPr/>
        <w:t>include</w:t>
      </w:r>
      <w:r>
        <w:rPr>
          <w:spacing w:val="10"/>
        </w:rPr>
        <w:t> </w:t>
      </w:r>
      <w:r>
        <w:rPr/>
        <w:t>(i)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address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any</w:t>
      </w:r>
      <w:r>
        <w:rPr>
          <w:spacing w:val="10"/>
        </w:rPr>
        <w:t> </w:t>
      </w:r>
      <w:r>
        <w:rPr/>
        <w:t>financial</w:t>
      </w:r>
      <w:r>
        <w:rPr>
          <w:spacing w:val="8"/>
        </w:rPr>
        <w:t> </w:t>
      </w:r>
      <w:r>
        <w:rPr/>
        <w:t>institution,</w:t>
      </w:r>
      <w:r>
        <w:rPr>
          <w:spacing w:val="9"/>
        </w:rPr>
        <w:t> </w:t>
      </w:r>
      <w:r>
        <w:rPr/>
        <w:t>insurance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other</w:t>
      </w:r>
      <w:r>
        <w:rPr>
          <w:spacing w:val="10"/>
        </w:rPr>
        <w:t> </w:t>
      </w:r>
      <w:r>
        <w:rPr/>
        <w:t>company;</w:t>
      </w:r>
      <w:r>
        <w:rPr>
          <w:spacing w:val="18"/>
        </w:rPr>
        <w:t> </w:t>
      </w:r>
      <w:r>
        <w:rPr/>
        <w:t>(ii)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/>
        <w:t>account</w:t>
      </w:r>
      <w:r>
        <w:rPr>
          <w:spacing w:val="12"/>
        </w:rPr>
        <w:t> </w:t>
      </w:r>
      <w:r>
        <w:rPr/>
        <w:t>numbers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/>
        <w:t>any</w:t>
      </w:r>
      <w:r>
        <w:rPr>
          <w:spacing w:val="10"/>
        </w:rPr>
        <w:t> </w:t>
      </w:r>
      <w:r>
        <w:rPr/>
        <w:t>bank</w:t>
      </w:r>
      <w:r>
        <w:rPr>
          <w:spacing w:val="13"/>
        </w:rPr>
        <w:t> </w:t>
      </w:r>
      <w:r>
        <w:rPr>
          <w:spacing w:val="-2"/>
        </w:rPr>
        <w:t>accounts;</w:t>
      </w:r>
    </w:p>
    <w:p>
      <w:pPr>
        <w:pStyle w:val="BodyText"/>
        <w:spacing w:line="420" w:lineRule="auto" w:before="1"/>
        <w:ind w:left="184" w:right="152"/>
      </w:pPr>
      <w:r>
        <w:rPr/>
        <w:t>(iii) the</w:t>
      </w:r>
      <w:r>
        <w:rPr>
          <w:spacing w:val="-11"/>
        </w:rPr>
        <w:t> </w:t>
      </w:r>
      <w:r>
        <w:rPr/>
        <w:t>serial</w:t>
      </w:r>
      <w:r>
        <w:rPr>
          <w:spacing w:val="-8"/>
        </w:rPr>
        <w:t> </w:t>
      </w:r>
      <w:r>
        <w:rPr/>
        <w:t>numbers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any</w:t>
      </w:r>
      <w:r>
        <w:rPr>
          <w:spacing w:val="-9"/>
        </w:rPr>
        <w:t> </w:t>
      </w:r>
      <w:r>
        <w:rPr/>
        <w:t>bonds;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(iv)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serial</w:t>
      </w:r>
      <w:r>
        <w:rPr>
          <w:spacing w:val="-8"/>
        </w:rPr>
        <w:t> </w:t>
      </w:r>
      <w:r>
        <w:rPr/>
        <w:t>number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any</w:t>
      </w:r>
      <w:r>
        <w:rPr>
          <w:spacing w:val="-9"/>
        </w:rPr>
        <w:t> </w:t>
      </w:r>
      <w:r>
        <w:rPr/>
        <w:t>vehicle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can</w:t>
      </w:r>
      <w:r>
        <w:rPr>
          <w:spacing w:val="-8"/>
        </w:rPr>
        <w:t> </w:t>
      </w:r>
      <w:r>
        <w:rPr/>
        <w:t>be</w:t>
      </w:r>
      <w:r>
        <w:rPr>
          <w:spacing w:val="-11"/>
        </w:rPr>
        <w:t> </w:t>
      </w:r>
      <w:r>
        <w:rPr/>
        <w:t>sufficiently</w:t>
      </w:r>
      <w:r>
        <w:rPr>
          <w:spacing w:val="-11"/>
        </w:rPr>
        <w:t> </w:t>
      </w:r>
      <w:r>
        <w:rPr/>
        <w:t>described</w:t>
      </w:r>
      <w:r>
        <w:rPr>
          <w:spacing w:val="-8"/>
        </w:rPr>
        <w:t> </w:t>
      </w:r>
      <w:r>
        <w:rPr/>
        <w:t>without</w:t>
      </w:r>
      <w:r>
        <w:rPr>
          <w:spacing w:val="-7"/>
        </w:rPr>
        <w:t> </w:t>
      </w:r>
      <w:r>
        <w:rPr/>
        <w:t>using</w:t>
      </w:r>
      <w:r>
        <w:rPr>
          <w:spacing w:val="-9"/>
        </w:rPr>
        <w:t> </w:t>
      </w:r>
      <w:r>
        <w:rPr/>
        <w:t>a</w:t>
      </w:r>
      <w:r>
        <w:rPr>
          <w:spacing w:val="-4"/>
        </w:rPr>
        <w:t> </w:t>
      </w:r>
      <w:r>
        <w:rPr/>
        <w:t>serial</w:t>
      </w:r>
      <w:r>
        <w:rPr>
          <w:spacing w:val="-10"/>
        </w:rPr>
        <w:t> </w:t>
      </w:r>
      <w:r>
        <w:rPr/>
        <w:t>number. If the value of an asset is unknown, show $1.00 as the value and provide an updated inventory when the value is determined.</w:t>
      </w:r>
    </w:p>
    <w:p>
      <w:pPr>
        <w:pStyle w:val="BodyText"/>
        <w:spacing w:line="183" w:lineRule="exact"/>
        <w:ind w:left="184"/>
      </w:pP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value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5"/>
        </w:rPr>
        <w:t> </w:t>
      </w:r>
      <w:r>
        <w:rPr/>
        <w:t>asset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foreign</w:t>
      </w:r>
      <w:r>
        <w:rPr>
          <w:spacing w:val="-3"/>
        </w:rPr>
        <w:t> </w:t>
      </w:r>
      <w:r>
        <w:rPr/>
        <w:t>currency,</w:t>
      </w:r>
      <w:r>
        <w:rPr>
          <w:spacing w:val="-4"/>
        </w:rPr>
        <w:t> </w:t>
      </w:r>
      <w:r>
        <w:rPr/>
        <w:t>convert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Canadian</w:t>
      </w:r>
      <w:r>
        <w:rPr>
          <w:spacing w:val="-3"/>
        </w:rPr>
        <w:t> </w:t>
      </w:r>
      <w:r>
        <w:rPr/>
        <w:t>dollars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death.</w:t>
      </w:r>
    </w:p>
    <w:p>
      <w:pPr>
        <w:pStyle w:val="Heading2"/>
        <w:spacing w:before="181"/>
        <w:rPr>
          <w:u w:val="none"/>
        </w:rPr>
      </w:pPr>
      <w:r>
        <w:rPr>
          <w:u w:val="single"/>
        </w:rPr>
        <w:t>NOTE</w:t>
      </w:r>
      <w:r>
        <w:rPr>
          <w:spacing w:val="-3"/>
          <w:u w:val="single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ANY</w:t>
      </w:r>
      <w:r>
        <w:rPr>
          <w:spacing w:val="-5"/>
          <w:u w:val="single"/>
        </w:rPr>
        <w:t> </w:t>
      </w:r>
      <w:r>
        <w:rPr>
          <w:u w:val="single"/>
        </w:rPr>
        <w:t>INTERESTED</w:t>
      </w:r>
      <w:r>
        <w:rPr>
          <w:spacing w:val="-7"/>
          <w:u w:val="single"/>
        </w:rPr>
        <w:t> </w:t>
      </w:r>
      <w:r>
        <w:rPr>
          <w:u w:val="single"/>
        </w:rPr>
        <w:t>PERSONS,</w:t>
      </w:r>
      <w:r>
        <w:rPr>
          <w:spacing w:val="-5"/>
          <w:u w:val="single"/>
        </w:rPr>
        <w:t> </w:t>
      </w:r>
      <w:r>
        <w:rPr>
          <w:u w:val="single"/>
        </w:rPr>
        <w:t>INCLUDING</w:t>
      </w:r>
      <w:r>
        <w:rPr>
          <w:spacing w:val="-5"/>
          <w:u w:val="single"/>
        </w:rPr>
        <w:t> </w:t>
      </w:r>
      <w:r>
        <w:rPr>
          <w:u w:val="single"/>
        </w:rPr>
        <w:t>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CREDITOR:</w:t>
      </w:r>
    </w:p>
    <w:p>
      <w:pPr>
        <w:pStyle w:val="BodyText"/>
        <w:spacing w:before="3"/>
        <w:ind w:left="184" w:right="176"/>
        <w:jc w:val="both"/>
      </w:pPr>
      <w:r>
        <w:rPr/>
        <w:t>Any</w:t>
      </w:r>
      <w:r>
        <w:rPr>
          <w:spacing w:val="-2"/>
        </w:rPr>
        <w:t> </w:t>
      </w:r>
      <w:r>
        <w:rPr/>
        <w:t>interested</w:t>
      </w:r>
      <w:r>
        <w:rPr>
          <w:spacing w:val="-4"/>
        </w:rPr>
        <w:t> </w:t>
      </w:r>
      <w:r>
        <w:rPr/>
        <w:t>person,</w:t>
      </w:r>
      <w:r>
        <w:rPr>
          <w:spacing w:val="-2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creditor,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request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estate</w:t>
      </w:r>
      <w:r>
        <w:rPr>
          <w:spacing w:val="-4"/>
        </w:rPr>
        <w:t> </w:t>
      </w:r>
      <w:r>
        <w:rPr/>
        <w:t>assets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executor(s)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administrator(s) under </w:t>
      </w:r>
      <w:r>
        <w:rPr>
          <w:rFonts w:ascii="Arial" w:hAnsi="Arial"/>
          <w:i/>
        </w:rPr>
        <w:t>King’s Bench Rule </w:t>
      </w:r>
      <w:r>
        <w:rPr/>
        <w:t>74.08. Any interested person, including a creditor, who believes that an asset of the deceased has not been disclosed may give notice to the executor(s) or administrator(s) under </w:t>
      </w:r>
      <w:r>
        <w:rPr>
          <w:rFonts w:ascii="Arial" w:hAnsi="Arial"/>
          <w:i/>
        </w:rPr>
        <w:t>King’s Bench Rule 74.09</w:t>
      </w:r>
      <w:r>
        <w:rPr/>
        <w:t>.</w:t>
      </w:r>
    </w:p>
    <w:sectPr>
      <w:pgSz w:w="12240" w:h="15840"/>
      <w:pgMar w:header="482" w:footer="0" w:top="9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5134736</wp:posOffset>
              </wp:positionH>
              <wp:positionV relativeFrom="page">
                <wp:posOffset>293414</wp:posOffset>
              </wp:positionV>
              <wp:extent cx="1882139" cy="167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8213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942" w:val="left" w:leader="none"/>
                            </w:tabs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File No.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4.309998pt;margin-top:23.103477pt;width:148.2pt;height:13.15pt;mso-position-horizontal-relative:page;mso-position-vertical-relative:page;z-index:-15801856" type="#_x0000_t202" id="docshape1" filled="false" stroked="false">
              <v:textbox inset="0,0,0,0">
                <w:txbxContent>
                  <w:p>
                    <w:pPr>
                      <w:tabs>
                        <w:tab w:pos="2942" w:val="left" w:leader="none"/>
                      </w:tabs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File No.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790448</wp:posOffset>
              </wp:positionH>
              <wp:positionV relativeFrom="page">
                <wp:posOffset>315488</wp:posOffset>
              </wp:positionV>
              <wp:extent cx="981710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817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Form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74B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page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.240002pt;margin-top:24.841602pt;width:77.3pt;height:11pt;mso-position-horizontal-relative:page;mso-position-vertical-relative:page;z-index:-158013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Form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74B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page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84"/>
      <w:outlineLvl w:val="2"/>
    </w:pPr>
    <w:rPr>
      <w:rFonts w:ascii="Arial" w:hAnsi="Arial" w:eastAsia="Arial" w:cs="Arial"/>
      <w:b/>
      <w:bCs/>
      <w:sz w:val="16"/>
      <w:szCs w:val="1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74B: Inventory and Valuation of the Property of the Deceased</dc:title>
  <dcterms:created xsi:type="dcterms:W3CDTF">2026-05-16T14:00:32Z</dcterms:created>
  <dcterms:modified xsi:type="dcterms:W3CDTF">2026-05-16T14:00:32Z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2022-09-29T00:00:00Z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2026-05-16T00:00:00Z</vt:filetime>
  </property>
  <property fmtid="{D5CDD505-2E9C-101B-9397-08002B2CF9AE}" pid="6" name="Producer">
    <vt:lpwstr>Microsoft® Word 2016</vt:lpwstr>
  </property>
</Properties>
</file>